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F3B57" w14:textId="77777777" w:rsidR="000F2346" w:rsidRDefault="000F2346" w:rsidP="000F2346">
      <w:pPr>
        <w:jc w:val="both"/>
        <w:rPr>
          <w:rFonts w:ascii="Marianne" w:eastAsia="Aptos" w:hAnsi="Marianne"/>
          <w:lang w:eastAsia="en-US"/>
        </w:rPr>
      </w:pPr>
    </w:p>
    <w:p w14:paraId="6C884B22" w14:textId="43B7548F" w:rsidR="000F2346" w:rsidRDefault="000F2346" w:rsidP="000F2346">
      <w:pPr>
        <w:jc w:val="both"/>
        <w:rPr>
          <w:rFonts w:ascii="Marianne" w:eastAsia="Aptos" w:hAnsi="Marianne"/>
          <w:lang w:eastAsia="en-US"/>
        </w:rPr>
      </w:pPr>
      <w:r w:rsidRPr="000F2346">
        <w:rPr>
          <w:rFonts w:ascii="Marianne" w:eastAsia="Aptos" w:hAnsi="Marianne"/>
          <w:lang w:eastAsia="en-US"/>
        </w:rPr>
        <w:t xml:space="preserve">Objet : Information sur le risque radon </w:t>
      </w:r>
    </w:p>
    <w:p w14:paraId="0FB34F4F" w14:textId="77777777" w:rsidR="000F2346" w:rsidRDefault="000F2346" w:rsidP="000F2346">
      <w:pPr>
        <w:jc w:val="both"/>
        <w:rPr>
          <w:rFonts w:ascii="Marianne" w:eastAsia="Aptos" w:hAnsi="Marianne"/>
          <w:lang w:eastAsia="en-US"/>
        </w:rPr>
      </w:pPr>
    </w:p>
    <w:p w14:paraId="4F1AABC3" w14:textId="74F5AB23" w:rsidR="000F2346" w:rsidRPr="000F2346" w:rsidRDefault="000F2346" w:rsidP="000F2346">
      <w:pPr>
        <w:jc w:val="both"/>
        <w:rPr>
          <w:rFonts w:ascii="Marianne" w:eastAsia="Aptos" w:hAnsi="Marianne"/>
          <w:lang w:eastAsia="en-US"/>
        </w:rPr>
      </w:pPr>
      <w:r w:rsidRPr="000F2346">
        <w:rPr>
          <w:rFonts w:ascii="Marianne" w:eastAsia="Aptos" w:hAnsi="Marianne"/>
          <w:lang w:eastAsia="en-US"/>
        </w:rPr>
        <w:t>Madame, Monsieur,</w:t>
      </w:r>
    </w:p>
    <w:p w14:paraId="4D3C2D55" w14:textId="77777777" w:rsidR="000F2346" w:rsidRPr="000F2346" w:rsidRDefault="000F2346" w:rsidP="000F2346">
      <w:pPr>
        <w:jc w:val="both"/>
        <w:rPr>
          <w:rFonts w:ascii="Marianne" w:eastAsia="Aptos" w:hAnsi="Marianne"/>
          <w:lang w:eastAsia="en-US"/>
        </w:rPr>
      </w:pPr>
    </w:p>
    <w:p w14:paraId="42D39874" w14:textId="77777777" w:rsidR="000F2346" w:rsidRDefault="000F2346" w:rsidP="000F2346">
      <w:pPr>
        <w:jc w:val="both"/>
        <w:rPr>
          <w:rFonts w:ascii="Marianne" w:eastAsia="Aptos" w:hAnsi="Marianne"/>
          <w:lang w:eastAsia="en-US"/>
        </w:rPr>
      </w:pPr>
      <w:r w:rsidRPr="000F2346">
        <w:rPr>
          <w:rFonts w:ascii="Marianne" w:eastAsia="Aptos" w:hAnsi="Marianne"/>
          <w:lang w:eastAsia="en-US"/>
        </w:rPr>
        <w:t xml:space="preserve">Le </w:t>
      </w:r>
      <w:r w:rsidRPr="000F2346">
        <w:rPr>
          <w:rFonts w:ascii="Marianne" w:eastAsia="Aptos" w:hAnsi="Marianne"/>
          <w:b/>
          <w:bCs/>
          <w:lang w:eastAsia="en-US"/>
        </w:rPr>
        <w:t>radon</w:t>
      </w:r>
      <w:r w:rsidRPr="000F2346">
        <w:rPr>
          <w:rFonts w:ascii="Marianne" w:eastAsia="Aptos" w:hAnsi="Marianne"/>
          <w:lang w:eastAsia="en-US"/>
        </w:rPr>
        <w:t xml:space="preserve"> est un </w:t>
      </w:r>
      <w:r w:rsidRPr="000F2346">
        <w:rPr>
          <w:rFonts w:ascii="Marianne" w:eastAsia="Aptos" w:hAnsi="Marianne"/>
          <w:b/>
          <w:bCs/>
          <w:lang w:eastAsia="en-US"/>
        </w:rPr>
        <w:t xml:space="preserve">gaz radioactif d’origine naturelle </w:t>
      </w:r>
      <w:r w:rsidRPr="000F2346">
        <w:rPr>
          <w:rFonts w:ascii="Marianne" w:eastAsia="Aptos" w:hAnsi="Marianne"/>
          <w:lang w:eastAsia="en-US"/>
        </w:rPr>
        <w:t xml:space="preserve">qui provient essentiellement du sol et de la désintégration de radionucléides. Il est présent en plus grande quantité dans les régions granitiques (ex : Vosges) et volcaniques... </w:t>
      </w:r>
    </w:p>
    <w:p w14:paraId="18A3F963" w14:textId="76735D6A" w:rsidR="000F2346" w:rsidRPr="000F2346" w:rsidRDefault="000F2346" w:rsidP="000F2346">
      <w:pPr>
        <w:jc w:val="both"/>
        <w:rPr>
          <w:rFonts w:ascii="Marianne" w:eastAsia="Aptos" w:hAnsi="Marianne"/>
          <w:lang w:eastAsia="en-US"/>
        </w:rPr>
      </w:pPr>
      <w:r w:rsidRPr="000F2346">
        <w:rPr>
          <w:rFonts w:ascii="Marianne" w:eastAsia="Aptos" w:hAnsi="Marianne"/>
          <w:lang w:eastAsia="en-US"/>
        </w:rPr>
        <w:t xml:space="preserve">L’exposition au radon est la seconde cause de cancer du poumon en France, derrière le tabagisme. D’après les dernières études de l’IRSN (Institut de Radioprotection et de Sûreté Nucléaire) et de Santé publique France (2018), 3 000 décès environ lui sont attribués par an en France. </w:t>
      </w:r>
    </w:p>
    <w:p w14:paraId="65A306D5" w14:textId="77777777" w:rsidR="000F2346" w:rsidRPr="000F2346" w:rsidRDefault="000F2346" w:rsidP="000F2346">
      <w:pPr>
        <w:jc w:val="both"/>
        <w:rPr>
          <w:rFonts w:ascii="Marianne" w:eastAsia="Aptos" w:hAnsi="Marianne"/>
          <w:lang w:eastAsia="en-US"/>
        </w:rPr>
      </w:pPr>
    </w:p>
    <w:p w14:paraId="3A49F83D" w14:textId="77777777" w:rsidR="000F2346" w:rsidRPr="000F2346" w:rsidRDefault="000F2346" w:rsidP="000F2346">
      <w:pPr>
        <w:jc w:val="both"/>
        <w:rPr>
          <w:rFonts w:ascii="Marianne" w:eastAsia="Aptos" w:hAnsi="Marianne"/>
          <w:lang w:eastAsia="en-US"/>
        </w:rPr>
      </w:pPr>
      <w:r w:rsidRPr="000F2346">
        <w:rPr>
          <w:rFonts w:ascii="Marianne" w:eastAsia="Aptos" w:hAnsi="Marianne"/>
          <w:lang w:eastAsia="en-US"/>
        </w:rPr>
        <w:t>Dans les espaces clos comme les sous-sols et les rez-de-chaussée des bâtiments ou dans les lieux de travail souterrains comme les tunnels, les galeries techniques, les grottes…, il peut s’accumuler pour atteindre des concentrations parfois très élevées.</w:t>
      </w:r>
    </w:p>
    <w:p w14:paraId="42C5145A" w14:textId="77777777" w:rsidR="000F2346" w:rsidRPr="000F2346" w:rsidRDefault="000F2346" w:rsidP="000F2346">
      <w:pPr>
        <w:jc w:val="both"/>
        <w:rPr>
          <w:rFonts w:ascii="Marianne" w:eastAsia="Aptos" w:hAnsi="Marianne"/>
          <w:lang w:eastAsia="en-US"/>
        </w:rPr>
      </w:pPr>
    </w:p>
    <w:p w14:paraId="1DAA9285" w14:textId="77777777" w:rsidR="000F2346" w:rsidRPr="000F2346" w:rsidRDefault="000F2346" w:rsidP="000F2346">
      <w:pPr>
        <w:jc w:val="both"/>
        <w:rPr>
          <w:rFonts w:ascii="Marianne" w:eastAsia="Aptos" w:hAnsi="Marianne"/>
          <w:lang w:eastAsia="en-US"/>
        </w:rPr>
      </w:pPr>
      <w:r w:rsidRPr="000F2346">
        <w:rPr>
          <w:rFonts w:ascii="Marianne" w:eastAsia="Aptos" w:hAnsi="Marianne"/>
          <w:b/>
          <w:bCs/>
          <w:lang w:eastAsia="en-US"/>
        </w:rPr>
        <w:t>Pour rappel, chaque employeur doit évaluer le risque d’exposition des travailleurs au radon</w:t>
      </w:r>
      <w:r w:rsidRPr="000F2346">
        <w:rPr>
          <w:rFonts w:ascii="Marianne" w:eastAsia="Aptos" w:hAnsi="Marianne"/>
          <w:lang w:eastAsia="en-US"/>
        </w:rPr>
        <w:t xml:space="preserve">. Cette évaluation a notamment pour objectif de constater si, dans une situation donnée, le niveau de référence pour le radon est susceptible d'être dépassé. </w:t>
      </w:r>
    </w:p>
    <w:p w14:paraId="33C3B948" w14:textId="77777777" w:rsidR="000F2346" w:rsidRPr="000F2346" w:rsidRDefault="000F2346" w:rsidP="000F2346">
      <w:pPr>
        <w:jc w:val="both"/>
        <w:rPr>
          <w:rFonts w:ascii="Marianne" w:eastAsia="Aptos" w:hAnsi="Marianne"/>
          <w:lang w:eastAsia="en-US"/>
        </w:rPr>
      </w:pPr>
    </w:p>
    <w:p w14:paraId="76A7C523" w14:textId="77777777" w:rsidR="000F2346" w:rsidRPr="000F2346" w:rsidRDefault="000F2346" w:rsidP="000F2346">
      <w:pPr>
        <w:jc w:val="both"/>
        <w:rPr>
          <w:rFonts w:ascii="Marianne" w:eastAsia="Aptos" w:hAnsi="Marianne"/>
          <w:lang w:eastAsia="en-US"/>
        </w:rPr>
      </w:pPr>
      <w:r w:rsidRPr="000F2346">
        <w:rPr>
          <w:rFonts w:ascii="Marianne" w:eastAsia="Aptos" w:hAnsi="Marianne"/>
          <w:lang w:eastAsia="en-US"/>
        </w:rPr>
        <w:t xml:space="preserve">Cette évaluation peut être réalisée grâce à une analyse documentaire, et le cas échéant, complétée par des mesurages. Le niveau de risque dépend de la situation géographique du lieu de travail, de l’étanchéité sol-bâtiment, de la ventilation des locaux… </w:t>
      </w:r>
    </w:p>
    <w:p w14:paraId="1D42C295" w14:textId="77777777" w:rsidR="000F2346" w:rsidRPr="000F2346" w:rsidRDefault="000F2346" w:rsidP="000F2346">
      <w:pPr>
        <w:jc w:val="both"/>
        <w:rPr>
          <w:rFonts w:ascii="Marianne" w:eastAsia="Aptos" w:hAnsi="Marianne"/>
          <w:lang w:eastAsia="en-US"/>
        </w:rPr>
      </w:pPr>
    </w:p>
    <w:p w14:paraId="252F9324" w14:textId="77777777" w:rsidR="000F2346" w:rsidRPr="000F2346" w:rsidRDefault="000F2346" w:rsidP="000F2346">
      <w:pPr>
        <w:jc w:val="both"/>
        <w:rPr>
          <w:rFonts w:ascii="Marianne" w:eastAsia="Aptos" w:hAnsi="Marianne"/>
          <w:lang w:eastAsia="en-US"/>
        </w:rPr>
      </w:pPr>
      <w:r w:rsidRPr="000F2346">
        <w:rPr>
          <w:rFonts w:ascii="Marianne" w:eastAsia="Aptos" w:hAnsi="Marianne"/>
          <w:lang w:eastAsia="en-US"/>
        </w:rPr>
        <w:t xml:space="preserve">Dans certains cas, des </w:t>
      </w:r>
      <w:r w:rsidRPr="000F2346">
        <w:rPr>
          <w:rFonts w:ascii="Marianne" w:eastAsia="Aptos" w:hAnsi="Marianne"/>
          <w:b/>
          <w:bCs/>
          <w:lang w:eastAsia="en-US"/>
        </w:rPr>
        <w:t xml:space="preserve">mesures de prévention simples </w:t>
      </w:r>
      <w:r w:rsidRPr="000F2346">
        <w:rPr>
          <w:rFonts w:ascii="Marianne" w:eastAsia="Aptos" w:hAnsi="Marianne"/>
          <w:lang w:eastAsia="en-US"/>
        </w:rPr>
        <w:t>à mettre en œuvre permettent de réduire le risque engendré par la présence de radon dans les lieux de travail : aérer régulièrement, vérifier l’état de la ventilation, améliorer ou rétablir l’aération naturelle du vide sanitaire ou de la cave, boucher les fissures au sol, refaire les joints autour des tuyaux d’évacuation…</w:t>
      </w:r>
    </w:p>
    <w:p w14:paraId="2D2C8AB8" w14:textId="77777777" w:rsidR="000F2346" w:rsidRPr="000F2346" w:rsidRDefault="000F2346" w:rsidP="000F2346">
      <w:pPr>
        <w:jc w:val="both"/>
        <w:rPr>
          <w:rFonts w:ascii="Marianne" w:eastAsia="Aptos" w:hAnsi="Marianne"/>
          <w:lang w:eastAsia="en-US"/>
        </w:rPr>
      </w:pPr>
    </w:p>
    <w:p w14:paraId="1A1A22DC" w14:textId="77777777" w:rsidR="000F2346" w:rsidRDefault="000F2346" w:rsidP="000F2346">
      <w:pPr>
        <w:jc w:val="both"/>
        <w:rPr>
          <w:rFonts w:ascii="Marianne" w:eastAsia="Aptos" w:hAnsi="Marianne"/>
          <w:lang w:eastAsia="en-US"/>
        </w:rPr>
      </w:pPr>
      <w:r w:rsidRPr="000F2346">
        <w:rPr>
          <w:rFonts w:ascii="Marianne" w:eastAsia="Aptos" w:hAnsi="Marianne"/>
          <w:lang w:eastAsia="en-US"/>
        </w:rPr>
        <w:t xml:space="preserve">Afin de sensibiliser les entreprises aux risques liés au radon, le Plan Régional de Santé au Travail va lancer une série d’actions (Boîte à outil, sensibilisations, …). </w:t>
      </w:r>
    </w:p>
    <w:p w14:paraId="20D288FE" w14:textId="1E6815D4" w:rsidR="000F2346" w:rsidRDefault="000F2346" w:rsidP="000F2346">
      <w:pPr>
        <w:jc w:val="both"/>
        <w:rPr>
          <w:rFonts w:ascii="Marianne" w:eastAsia="Aptos" w:hAnsi="Marianne"/>
          <w:lang w:eastAsia="en-US"/>
        </w:rPr>
      </w:pPr>
      <w:r w:rsidRPr="000F2346">
        <w:rPr>
          <w:rFonts w:ascii="Marianne" w:eastAsia="Aptos" w:hAnsi="Marianne"/>
          <w:lang w:eastAsia="en-US"/>
        </w:rPr>
        <w:t xml:space="preserve">Une journée de sensibilisation à ce risque sera organisée début novembre 2024, dans ce cadre nous recherchons des entreprises qui auraient réalisé leur évaluation des risques radon et qui souhaiteraient partager leur retour d’expérience. </w:t>
      </w:r>
    </w:p>
    <w:p w14:paraId="09EB2E9E" w14:textId="77777777" w:rsidR="000F2346" w:rsidRPr="000F2346" w:rsidRDefault="000F2346" w:rsidP="000F2346">
      <w:pPr>
        <w:jc w:val="both"/>
        <w:rPr>
          <w:rFonts w:ascii="Marianne" w:eastAsia="Aptos" w:hAnsi="Marianne"/>
          <w:lang w:eastAsia="en-US"/>
        </w:rPr>
      </w:pPr>
    </w:p>
    <w:p w14:paraId="47DE2B13" w14:textId="77777777" w:rsidR="000F2346" w:rsidRPr="000F2346" w:rsidRDefault="000F2346" w:rsidP="000F2346">
      <w:pPr>
        <w:jc w:val="both"/>
        <w:rPr>
          <w:rFonts w:ascii="Marianne" w:eastAsia="Aptos" w:hAnsi="Marianne"/>
          <w:lang w:eastAsia="en-US"/>
        </w:rPr>
      </w:pPr>
      <w:r w:rsidRPr="000F2346">
        <w:rPr>
          <w:rFonts w:ascii="Marianne" w:eastAsia="Aptos" w:hAnsi="Marianne"/>
          <w:lang w:eastAsia="en-US"/>
        </w:rPr>
        <w:t xml:space="preserve">Merci de faire part de votre intérêt auprès de : </w:t>
      </w:r>
      <w:hyperlink r:id="rId7" w:tooltip="mailto:DREETS-GE.UAC@dreets.gouv.fr" w:history="1">
        <w:r w:rsidRPr="000F2346">
          <w:rPr>
            <w:rFonts w:ascii="Marianne" w:eastAsia="Aptos" w:hAnsi="Marianne"/>
            <w:u w:val="single"/>
            <w:lang w:eastAsia="en-US"/>
          </w:rPr>
          <w:t>DREETS-GE.UAC@dreets.gouv.fr</w:t>
        </w:r>
      </w:hyperlink>
      <w:r w:rsidRPr="000F2346">
        <w:rPr>
          <w:rFonts w:ascii="Marianne" w:eastAsia="Aptos" w:hAnsi="Marianne"/>
          <w:lang w:eastAsia="en-US"/>
        </w:rPr>
        <w:t xml:space="preserve">  en précisant en objet de mail : « Journée PRSE PRST Radon ».</w:t>
      </w:r>
    </w:p>
    <w:p w14:paraId="41434487" w14:textId="77777777" w:rsidR="000F2346" w:rsidRPr="000F2346" w:rsidRDefault="000F2346" w:rsidP="000F2346">
      <w:pPr>
        <w:jc w:val="both"/>
        <w:rPr>
          <w:rFonts w:ascii="Marianne" w:eastAsia="Aptos" w:hAnsi="Marianne"/>
          <w:lang w:eastAsia="en-US"/>
        </w:rPr>
      </w:pPr>
    </w:p>
    <w:p w14:paraId="4CA8B420" w14:textId="77777777" w:rsidR="000F2346" w:rsidRPr="000F2346" w:rsidRDefault="000F2346" w:rsidP="000F2346">
      <w:pPr>
        <w:jc w:val="both"/>
        <w:rPr>
          <w:rFonts w:ascii="Marianne" w:eastAsia="Aptos" w:hAnsi="Marianne"/>
          <w:i/>
          <w:iCs/>
          <w:lang w:eastAsia="en-US"/>
        </w:rPr>
      </w:pPr>
      <w:r w:rsidRPr="000F2346">
        <w:rPr>
          <w:rFonts w:ascii="Marianne" w:eastAsia="Aptos" w:hAnsi="Marianne"/>
          <w:i/>
          <w:iCs/>
          <w:lang w:eastAsia="en-US"/>
        </w:rPr>
        <w:t xml:space="preserve">Pour en savoir plus sur le risque radon et comment l’évaluer : </w:t>
      </w:r>
    </w:p>
    <w:p w14:paraId="7F131B98" w14:textId="77777777" w:rsidR="000F2346" w:rsidRPr="000F2346" w:rsidRDefault="000F2346" w:rsidP="000F2346">
      <w:pPr>
        <w:numPr>
          <w:ilvl w:val="0"/>
          <w:numId w:val="1"/>
        </w:numPr>
        <w:contextualSpacing/>
        <w:jc w:val="both"/>
        <w:rPr>
          <w:rFonts w:ascii="Marianne" w:hAnsi="Marianne"/>
          <w:i/>
          <w:iCs/>
          <w:lang w:eastAsia="en-US"/>
        </w:rPr>
      </w:pPr>
      <w:r w:rsidRPr="000F2346">
        <w:rPr>
          <w:rFonts w:ascii="Marianne" w:hAnsi="Marianne"/>
          <w:i/>
          <w:iCs/>
          <w:lang w:eastAsia="en-US"/>
        </w:rPr>
        <w:t xml:space="preserve">Fiche synthétique : </w:t>
      </w:r>
      <w:hyperlink r:id="rId8" w:tooltip="https://www.asn.fr/l-asn-informe/dossiers-pedagogiques/le-radon-et-les-professionnels/guides-sur-la-gestion-du-risque-du-radon/la-prevention-du-risque-radon-dans-les-lieux-de-travail" w:history="1">
        <w:r w:rsidRPr="000F2346">
          <w:rPr>
            <w:rFonts w:ascii="Marianne" w:hAnsi="Marianne"/>
            <w:i/>
            <w:iCs/>
            <w:u w:val="single"/>
            <w:lang w:eastAsia="en-US"/>
          </w:rPr>
          <w:t>Fic</w:t>
        </w:r>
        <w:r w:rsidRPr="000F2346">
          <w:rPr>
            <w:rFonts w:ascii="Marianne" w:hAnsi="Marianne"/>
            <w:i/>
            <w:iCs/>
            <w:u w:val="single"/>
            <w:lang w:eastAsia="en-US"/>
          </w:rPr>
          <w:t>h</w:t>
        </w:r>
        <w:r w:rsidRPr="000F2346">
          <w:rPr>
            <w:rFonts w:ascii="Marianne" w:hAnsi="Marianne"/>
            <w:i/>
            <w:iCs/>
            <w:u w:val="single"/>
            <w:lang w:eastAsia="en-US"/>
          </w:rPr>
          <w:t>e d’information employeurs-préventeurs de l’ASN</w:t>
        </w:r>
      </w:hyperlink>
    </w:p>
    <w:p w14:paraId="1B168C9C" w14:textId="77777777" w:rsidR="000F2346" w:rsidRPr="000F2346" w:rsidRDefault="000F2346" w:rsidP="000F2346">
      <w:pPr>
        <w:numPr>
          <w:ilvl w:val="0"/>
          <w:numId w:val="1"/>
        </w:numPr>
        <w:contextualSpacing/>
        <w:jc w:val="both"/>
        <w:rPr>
          <w:rFonts w:ascii="Marianne" w:hAnsi="Marianne"/>
          <w:i/>
          <w:iCs/>
          <w:lang w:eastAsia="en-US"/>
        </w:rPr>
      </w:pPr>
      <w:r w:rsidRPr="000F2346">
        <w:rPr>
          <w:rFonts w:ascii="Marianne" w:hAnsi="Marianne"/>
          <w:i/>
          <w:iCs/>
          <w:lang w:eastAsia="en-US"/>
        </w:rPr>
        <w:t xml:space="preserve">Démarche complète : </w:t>
      </w:r>
      <w:hyperlink r:id="rId9" w:tooltip="https://travail-emploi.gouv.fr/IMG/pdf/guide_dgt_-_prevention_du_risque_radon_-_edition2020.pdf" w:history="1">
        <w:r w:rsidRPr="000F2346">
          <w:rPr>
            <w:rFonts w:ascii="Marianne" w:hAnsi="Marianne"/>
            <w:i/>
            <w:iCs/>
            <w:u w:val="single"/>
            <w:lang w:eastAsia="en-US"/>
          </w:rPr>
          <w:t>Guide</w:t>
        </w:r>
        <w:r w:rsidRPr="000F2346">
          <w:rPr>
            <w:rFonts w:ascii="Marianne" w:hAnsi="Marianne"/>
            <w:i/>
            <w:iCs/>
            <w:u w:val="single"/>
            <w:lang w:eastAsia="en-US"/>
          </w:rPr>
          <w:t xml:space="preserve"> </w:t>
        </w:r>
        <w:r w:rsidRPr="000F2346">
          <w:rPr>
            <w:rFonts w:ascii="Marianne" w:hAnsi="Marianne"/>
            <w:i/>
            <w:iCs/>
            <w:u w:val="single"/>
            <w:lang w:eastAsia="en-US"/>
          </w:rPr>
          <w:t>de la DGT et de l’ASN édition 2020</w:t>
        </w:r>
      </w:hyperlink>
    </w:p>
    <w:p w14:paraId="137C5B89" w14:textId="77777777" w:rsidR="000F2346" w:rsidRPr="000F2346" w:rsidRDefault="000F2346" w:rsidP="000F2346">
      <w:pPr>
        <w:jc w:val="both"/>
        <w:rPr>
          <w:rFonts w:ascii="Marianne" w:eastAsia="Aptos" w:hAnsi="Marianne"/>
          <w:lang w:eastAsia="en-US"/>
        </w:rPr>
      </w:pPr>
    </w:p>
    <w:p w14:paraId="24D04A3F" w14:textId="63349131" w:rsidR="000F2346" w:rsidRPr="000F2346" w:rsidRDefault="000F2346" w:rsidP="000F2346">
      <w:pPr>
        <w:jc w:val="both"/>
        <w:rPr>
          <w:rFonts w:ascii="Century Gothic" w:eastAsia="Aptos" w:hAnsi="Century Gothic"/>
          <w:lang w:eastAsia="en-US"/>
        </w:rPr>
      </w:pPr>
      <w:r w:rsidRPr="000F2346">
        <w:rPr>
          <w:rFonts w:ascii="Marianne" w:eastAsia="Aptos" w:hAnsi="Marianne"/>
          <w:lang w:eastAsia="en-US"/>
        </w:rPr>
        <w:t>Les membres de l’action 10 Risques Chimique et émergent du PRST Grand Est,</w:t>
      </w:r>
      <w:r w:rsidRPr="000F2346">
        <w:rPr>
          <w:rFonts w:eastAsia="Aptos"/>
          <w:noProof/>
          <w:sz w:val="22"/>
          <w:szCs w:val="22"/>
          <w:lang w:eastAsia="en-US"/>
          <w14:ligatures w14:val="standardContextual"/>
        </w:rPr>
        <w:t xml:space="preserve"> </w:t>
      </w:r>
      <w:r w:rsidRPr="000F2346">
        <w:rPr>
          <w:rFonts w:eastAsia="Aptos"/>
          <w:noProof/>
          <w:sz w:val="22"/>
          <w:szCs w:val="22"/>
          <w:lang w:eastAsia="en-US"/>
          <w14:ligatures w14:val="standardContextual"/>
        </w:rPr>
        <w:drawing>
          <wp:inline distT="0" distB="0" distL="0" distR="0" wp14:anchorId="411566F7" wp14:editId="0614C115">
            <wp:extent cx="699361" cy="577850"/>
            <wp:effectExtent l="0" t="0" r="5715" b="0"/>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5822" cy="616239"/>
                    </a:xfrm>
                    <a:prstGeom prst="rect">
                      <a:avLst/>
                    </a:prstGeom>
                    <a:noFill/>
                    <a:ln>
                      <a:noFill/>
                    </a:ln>
                  </pic:spPr>
                </pic:pic>
              </a:graphicData>
            </a:graphic>
          </wp:inline>
        </w:drawing>
      </w:r>
    </w:p>
    <w:p w14:paraId="6B33128F" w14:textId="77777777" w:rsidR="009B2612" w:rsidRDefault="009B2612"/>
    <w:sectPr w:rsidR="009B26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6AB3D" w14:textId="77777777" w:rsidR="008B574A" w:rsidRDefault="008B574A" w:rsidP="009D388D">
      <w:r>
        <w:separator/>
      </w:r>
    </w:p>
  </w:endnote>
  <w:endnote w:type="continuationSeparator" w:id="0">
    <w:p w14:paraId="6BBA78C9" w14:textId="77777777" w:rsidR="008B574A" w:rsidRDefault="008B574A" w:rsidP="009D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Aptos">
    <w:altName w:val="Arial"/>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E4766" w14:textId="77777777" w:rsidR="008B574A" w:rsidRDefault="008B574A" w:rsidP="009D388D">
      <w:r>
        <w:separator/>
      </w:r>
    </w:p>
  </w:footnote>
  <w:footnote w:type="continuationSeparator" w:id="0">
    <w:p w14:paraId="57D9838D" w14:textId="77777777" w:rsidR="008B574A" w:rsidRDefault="008B574A" w:rsidP="009D3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840D9"/>
    <w:multiLevelType w:val="hybridMultilevel"/>
    <w:tmpl w:val="26AA9FBA"/>
    <w:lvl w:ilvl="0" w:tplc="30408676">
      <w:start w:val="1"/>
      <w:numFmt w:val="bullet"/>
      <w:lvlText w:val=""/>
      <w:lvlJc w:val="left"/>
      <w:pPr>
        <w:ind w:left="720" w:hanging="360"/>
      </w:pPr>
      <w:rPr>
        <w:rFonts w:ascii="Symbol" w:hAnsi="Symbol" w:hint="default"/>
      </w:rPr>
    </w:lvl>
    <w:lvl w:ilvl="1" w:tplc="C792A0B0">
      <w:start w:val="1"/>
      <w:numFmt w:val="bullet"/>
      <w:lvlText w:val="o"/>
      <w:lvlJc w:val="left"/>
      <w:pPr>
        <w:ind w:left="1440" w:hanging="360"/>
      </w:pPr>
      <w:rPr>
        <w:rFonts w:ascii="Courier New" w:hAnsi="Courier New" w:cs="Courier New" w:hint="default"/>
      </w:rPr>
    </w:lvl>
    <w:lvl w:ilvl="2" w:tplc="FF3EA204">
      <w:start w:val="1"/>
      <w:numFmt w:val="bullet"/>
      <w:lvlText w:val=""/>
      <w:lvlJc w:val="left"/>
      <w:pPr>
        <w:ind w:left="2160" w:hanging="360"/>
      </w:pPr>
      <w:rPr>
        <w:rFonts w:ascii="Wingdings" w:hAnsi="Wingdings" w:hint="default"/>
      </w:rPr>
    </w:lvl>
    <w:lvl w:ilvl="3" w:tplc="E856EB50">
      <w:start w:val="1"/>
      <w:numFmt w:val="bullet"/>
      <w:lvlText w:val=""/>
      <w:lvlJc w:val="left"/>
      <w:pPr>
        <w:ind w:left="2880" w:hanging="360"/>
      </w:pPr>
      <w:rPr>
        <w:rFonts w:ascii="Symbol" w:hAnsi="Symbol" w:hint="default"/>
      </w:rPr>
    </w:lvl>
    <w:lvl w:ilvl="4" w:tplc="11926DE8">
      <w:start w:val="1"/>
      <w:numFmt w:val="bullet"/>
      <w:lvlText w:val="o"/>
      <w:lvlJc w:val="left"/>
      <w:pPr>
        <w:ind w:left="3600" w:hanging="360"/>
      </w:pPr>
      <w:rPr>
        <w:rFonts w:ascii="Courier New" w:hAnsi="Courier New" w:cs="Courier New" w:hint="default"/>
      </w:rPr>
    </w:lvl>
    <w:lvl w:ilvl="5" w:tplc="EAFC4628">
      <w:start w:val="1"/>
      <w:numFmt w:val="bullet"/>
      <w:lvlText w:val=""/>
      <w:lvlJc w:val="left"/>
      <w:pPr>
        <w:ind w:left="4320" w:hanging="360"/>
      </w:pPr>
      <w:rPr>
        <w:rFonts w:ascii="Wingdings" w:hAnsi="Wingdings" w:hint="default"/>
      </w:rPr>
    </w:lvl>
    <w:lvl w:ilvl="6" w:tplc="C72A2A42">
      <w:start w:val="1"/>
      <w:numFmt w:val="bullet"/>
      <w:lvlText w:val=""/>
      <w:lvlJc w:val="left"/>
      <w:pPr>
        <w:ind w:left="5040" w:hanging="360"/>
      </w:pPr>
      <w:rPr>
        <w:rFonts w:ascii="Symbol" w:hAnsi="Symbol" w:hint="default"/>
      </w:rPr>
    </w:lvl>
    <w:lvl w:ilvl="7" w:tplc="8228D988">
      <w:start w:val="1"/>
      <w:numFmt w:val="bullet"/>
      <w:lvlText w:val="o"/>
      <w:lvlJc w:val="left"/>
      <w:pPr>
        <w:ind w:left="5760" w:hanging="360"/>
      </w:pPr>
      <w:rPr>
        <w:rFonts w:ascii="Courier New" w:hAnsi="Courier New" w:cs="Courier New" w:hint="default"/>
      </w:rPr>
    </w:lvl>
    <w:lvl w:ilvl="8" w:tplc="C91815E2">
      <w:start w:val="1"/>
      <w:numFmt w:val="bullet"/>
      <w:lvlText w:val=""/>
      <w:lvlJc w:val="left"/>
      <w:pPr>
        <w:ind w:left="6480" w:hanging="360"/>
      </w:pPr>
      <w:rPr>
        <w:rFonts w:ascii="Wingdings" w:hAnsi="Wingdings" w:hint="default"/>
      </w:rPr>
    </w:lvl>
  </w:abstractNum>
  <w:num w:numId="1" w16cid:durableId="1706828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7E1D"/>
    <w:rsid w:val="000F2346"/>
    <w:rsid w:val="003A7B06"/>
    <w:rsid w:val="007C7E1D"/>
    <w:rsid w:val="008B173D"/>
    <w:rsid w:val="008B574A"/>
    <w:rsid w:val="008C6AD6"/>
    <w:rsid w:val="009B2612"/>
    <w:rsid w:val="009D388D"/>
    <w:rsid w:val="00BB0F68"/>
    <w:rsid w:val="00C15E54"/>
    <w:rsid w:val="00CE4F39"/>
    <w:rsid w:val="00EF65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D3D20"/>
  <w15:chartTrackingRefBased/>
  <w15:docId w15:val="{36D9A8CB-D568-4096-B8DA-4DFADE9F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E1D"/>
    <w:pPr>
      <w:spacing w:after="0" w:line="240" w:lineRule="auto"/>
    </w:pPr>
    <w:rPr>
      <w:rFonts w:ascii="Calibri" w:eastAsia="Calibri" w:hAnsi="Calibri" w:cs="Calibri"/>
      <w:kern w:val="0"/>
      <w:sz w:val="20"/>
      <w:szCs w:val="2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388D"/>
    <w:pPr>
      <w:tabs>
        <w:tab w:val="center" w:pos="4536"/>
        <w:tab w:val="right" w:pos="9072"/>
      </w:tabs>
    </w:pPr>
  </w:style>
  <w:style w:type="character" w:customStyle="1" w:styleId="En-tteCar">
    <w:name w:val="En-tête Car"/>
    <w:basedOn w:val="Policepardfaut"/>
    <w:link w:val="En-tte"/>
    <w:uiPriority w:val="99"/>
    <w:rsid w:val="009D388D"/>
    <w:rPr>
      <w:rFonts w:ascii="Calibri" w:eastAsia="Calibri" w:hAnsi="Calibri" w:cs="Calibri"/>
      <w:kern w:val="0"/>
      <w:sz w:val="20"/>
      <w:szCs w:val="20"/>
      <w:lang w:eastAsia="fr-FR"/>
      <w14:ligatures w14:val="none"/>
    </w:rPr>
  </w:style>
  <w:style w:type="paragraph" w:styleId="Pieddepage">
    <w:name w:val="footer"/>
    <w:basedOn w:val="Normal"/>
    <w:link w:val="PieddepageCar"/>
    <w:uiPriority w:val="99"/>
    <w:unhideWhenUsed/>
    <w:rsid w:val="009D388D"/>
    <w:pPr>
      <w:tabs>
        <w:tab w:val="center" w:pos="4536"/>
        <w:tab w:val="right" w:pos="9072"/>
      </w:tabs>
    </w:pPr>
  </w:style>
  <w:style w:type="character" w:customStyle="1" w:styleId="PieddepageCar">
    <w:name w:val="Pied de page Car"/>
    <w:basedOn w:val="Policepardfaut"/>
    <w:link w:val="Pieddepage"/>
    <w:uiPriority w:val="99"/>
    <w:rsid w:val="009D388D"/>
    <w:rPr>
      <w:rFonts w:ascii="Calibri" w:eastAsia="Calibri" w:hAnsi="Calibri" w:cs="Calibri"/>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62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n.fr/l-asn-informe/dossiers-pedagogiques/le-radon-et-les-professionnels/guides-sur-la-gestion-du-risque-du-radon/la-prevention-du-risque-radon-dans-les-lieux-de-travail" TargetMode="External"/><Relationship Id="rId3" Type="http://schemas.openxmlformats.org/officeDocument/2006/relationships/settings" Target="settings.xml"/><Relationship Id="rId7" Type="http://schemas.openxmlformats.org/officeDocument/2006/relationships/hyperlink" Target="mailto:DREETS-GE.UAC@dreets.gouv.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asn.fr/l-asn-informe/dossiers-pedagogiques/le-radon-et-les-professionnels/guides-sur-la-gestion-du-risque-du-radon/guide-pratique-pour-la-prevention-du-risque-rad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510</Words>
  <Characters>2805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Martine (DREETS-GE)</dc:creator>
  <cp:keywords/>
  <dc:description/>
  <cp:lastModifiedBy>LEONARD, Martine (DREETS-GE)</cp:lastModifiedBy>
  <cp:revision>3</cp:revision>
  <dcterms:created xsi:type="dcterms:W3CDTF">2024-06-26T14:18:00Z</dcterms:created>
  <dcterms:modified xsi:type="dcterms:W3CDTF">2024-06-26T14:48:00Z</dcterms:modified>
</cp:coreProperties>
</file>